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07" w:rsidRPr="001479A9" w:rsidRDefault="004F6A07" w:rsidP="004F6A07">
      <w:pPr>
        <w:spacing w:after="0" w:line="240" w:lineRule="auto"/>
        <w:rPr>
          <w:rFonts w:eastAsiaTheme="minorHAnsi" w:cs="Arial"/>
          <w:b/>
          <w:szCs w:val="20"/>
          <w:u w:val="single"/>
        </w:rPr>
      </w:pPr>
      <w:r w:rsidRPr="004169D1">
        <w:rPr>
          <w:rFonts w:eastAsiaTheme="minorHAnsi" w:cs="Arial"/>
          <w:b/>
          <w:szCs w:val="20"/>
          <w:u w:val="single"/>
        </w:rPr>
        <w:t>TAAK 1</w:t>
      </w:r>
      <w:r>
        <w:rPr>
          <w:rFonts w:eastAsiaTheme="minorHAnsi" w:cs="Arial"/>
          <w:b/>
          <w:szCs w:val="20"/>
          <w:u w:val="single"/>
        </w:rPr>
        <w:t>A</w:t>
      </w:r>
    </w:p>
    <w:p w:rsidR="004F6A07" w:rsidRPr="001479A9" w:rsidRDefault="004F6A07" w:rsidP="004F6A07">
      <w:pPr>
        <w:spacing w:after="0" w:line="240" w:lineRule="auto"/>
        <w:rPr>
          <w:rFonts w:eastAsiaTheme="minorHAnsi" w:cs="Arial"/>
          <w:b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4F6A07" w:rsidRPr="001479A9" w:rsidTr="00FF7B0C">
        <w:tc>
          <w:tcPr>
            <w:tcW w:w="1913" w:type="dxa"/>
          </w:tcPr>
          <w:p w:rsidR="004F6A07" w:rsidRPr="001479A9" w:rsidRDefault="004F6A07" w:rsidP="00B26D69">
            <w:pPr>
              <w:spacing w:after="0" w:line="240" w:lineRule="auto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Soort taak:</w:t>
            </w:r>
            <w:r w:rsidRPr="001479A9">
              <w:rPr>
                <w:rFonts w:eastAsiaTheme="minorHAnsi" w:cs="Arial"/>
                <w:szCs w:val="20"/>
              </w:rPr>
              <w:t xml:space="preserve"> </w:t>
            </w:r>
          </w:p>
        </w:tc>
        <w:tc>
          <w:tcPr>
            <w:tcW w:w="7299" w:type="dxa"/>
          </w:tcPr>
          <w:p w:rsidR="004F6A07" w:rsidRPr="001479A9" w:rsidRDefault="004F6A07" w:rsidP="00B26D69">
            <w:p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Studietaak</w:t>
            </w:r>
          </w:p>
        </w:tc>
      </w:tr>
      <w:tr w:rsidR="004F6A07" w:rsidRPr="001479A9" w:rsidTr="00FF7B0C">
        <w:tc>
          <w:tcPr>
            <w:tcW w:w="1913" w:type="dxa"/>
          </w:tcPr>
          <w:p w:rsidR="004F6A07" w:rsidRPr="001479A9" w:rsidRDefault="004F6A07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Titel:</w:t>
            </w:r>
            <w:r w:rsidRPr="001479A9">
              <w:rPr>
                <w:rFonts w:eastAsiaTheme="minorHAnsi" w:cs="Arial"/>
                <w:szCs w:val="20"/>
              </w:rPr>
              <w:t xml:space="preserve"> </w:t>
            </w:r>
          </w:p>
        </w:tc>
        <w:tc>
          <w:tcPr>
            <w:tcW w:w="7299" w:type="dxa"/>
          </w:tcPr>
          <w:p w:rsidR="004F6A07" w:rsidRPr="001479A9" w:rsidRDefault="004F6A07" w:rsidP="00B26D69">
            <w:p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Geneesmiddelen bij luchtwegaandoeningen</w:t>
            </w:r>
          </w:p>
        </w:tc>
      </w:tr>
      <w:tr w:rsidR="004F6A07" w:rsidRPr="001479A9" w:rsidTr="00FF7B0C">
        <w:tc>
          <w:tcPr>
            <w:tcW w:w="1913" w:type="dxa"/>
          </w:tcPr>
          <w:p w:rsidR="004F6A07" w:rsidRPr="001479A9" w:rsidRDefault="004F6A07" w:rsidP="004F6A0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60"/>
              <w:rPr>
                <w:rFonts w:eastAsia="Times New Roman" w:cs="Arial"/>
                <w:b/>
                <w:szCs w:val="20"/>
                <w:lang w:eastAsia="nl-NL"/>
              </w:rPr>
            </w:pPr>
            <w:r w:rsidRPr="001479A9">
              <w:rPr>
                <w:rFonts w:eastAsia="Times New Roman" w:cs="Arial"/>
                <w:b/>
                <w:szCs w:val="20"/>
                <w:lang w:eastAsia="nl-NL"/>
              </w:rPr>
              <w:t>Inleiding: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</w:tc>
        <w:tc>
          <w:tcPr>
            <w:tcW w:w="7299" w:type="dxa"/>
          </w:tcPr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Polikliniek longziekten 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ZCA, locatie Lukas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Aan:</w:t>
            </w:r>
            <w:r w:rsidRPr="001479A9">
              <w:rPr>
                <w:rFonts w:eastAsiaTheme="minorHAnsi" w:cs="Arial"/>
                <w:szCs w:val="20"/>
              </w:rPr>
              <w:tab/>
              <w:t>O.V. Toom, huisarts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ab/>
              <w:t>Plutostraat 1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            7356 FD Apeldoorn 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Geachte collega,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Het afgelopen jaar zagen wij poliklinisch ter controle Marcel de Jong, geb. 17-05-1994, Berkenweg 15, 7358AJ Apeldoorn, AGIS 2569874123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Marcel, inmiddels 12 jaar oud, is bij ons bekend wegens </w:t>
            </w:r>
            <w:r w:rsidRPr="001479A9">
              <w:rPr>
                <w:rFonts w:eastAsiaTheme="minorHAnsi" w:cs="Arial"/>
                <w:szCs w:val="20"/>
                <w:u w:val="single"/>
              </w:rPr>
              <w:t xml:space="preserve">astma </w:t>
            </w:r>
            <w:r w:rsidRPr="001479A9">
              <w:rPr>
                <w:rFonts w:eastAsiaTheme="minorHAnsi" w:cs="Arial"/>
                <w:szCs w:val="20"/>
              </w:rPr>
              <w:t xml:space="preserve">op basis van een </w:t>
            </w:r>
            <w:r w:rsidRPr="001479A9">
              <w:rPr>
                <w:rFonts w:eastAsiaTheme="minorHAnsi" w:cs="Arial"/>
                <w:szCs w:val="20"/>
                <w:u w:val="single"/>
              </w:rPr>
              <w:t>atopische constitutie</w:t>
            </w:r>
            <w:r w:rsidRPr="001479A9">
              <w:rPr>
                <w:rFonts w:eastAsiaTheme="minorHAnsi" w:cs="Arial"/>
                <w:szCs w:val="20"/>
              </w:rPr>
              <w:t xml:space="preserve"> (</w:t>
            </w:r>
            <w:r w:rsidRPr="001479A9">
              <w:rPr>
                <w:rFonts w:eastAsiaTheme="minorHAnsi" w:cs="Arial"/>
                <w:szCs w:val="20"/>
                <w:u w:val="single"/>
              </w:rPr>
              <w:t>eosinofilie</w:t>
            </w:r>
            <w:r w:rsidRPr="001479A9">
              <w:rPr>
                <w:rFonts w:eastAsiaTheme="minorHAnsi" w:cs="Arial"/>
                <w:szCs w:val="20"/>
              </w:rPr>
              <w:t xml:space="preserve">, paroxismaal klachtenverloop, positieve familieanamnese, eczeem, positieve </w:t>
            </w:r>
            <w:r w:rsidRPr="001479A9">
              <w:rPr>
                <w:rFonts w:eastAsiaTheme="minorHAnsi" w:cs="Arial"/>
                <w:szCs w:val="20"/>
                <w:u w:val="single"/>
              </w:rPr>
              <w:t>RAST</w:t>
            </w:r>
            <w:r w:rsidRPr="001479A9">
              <w:rPr>
                <w:rFonts w:eastAsiaTheme="minorHAnsi" w:cs="Arial"/>
                <w:szCs w:val="20"/>
              </w:rPr>
              <w:t xml:space="preserve">). 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Interval-anamnese: het afgelopen jaar is het uitstekend gegaan met Marcel. Ook op school is het goed gegaan. Wel tijdens het schoolkamp flinke </w:t>
            </w:r>
            <w:r w:rsidRPr="001479A9">
              <w:rPr>
                <w:rFonts w:eastAsiaTheme="minorHAnsi" w:cs="Arial"/>
                <w:szCs w:val="20"/>
                <w:u w:val="single"/>
              </w:rPr>
              <w:t>dyspnoe</w:t>
            </w:r>
            <w:r w:rsidRPr="001479A9">
              <w:rPr>
                <w:rFonts w:eastAsiaTheme="minorHAnsi" w:cs="Arial"/>
                <w:szCs w:val="20"/>
              </w:rPr>
              <w:t xml:space="preserve"> naar aanleiding van een kussengevecht en niet slapen ’s nachts.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Bij lichamelijk onderzoek geen bijzonderheden, met name </w:t>
            </w:r>
            <w:proofErr w:type="spellStart"/>
            <w:r w:rsidRPr="001479A9">
              <w:rPr>
                <w:rFonts w:eastAsiaTheme="minorHAnsi" w:cs="Arial"/>
                <w:szCs w:val="20"/>
                <w:u w:val="single"/>
              </w:rPr>
              <w:t>vesiculair</w:t>
            </w:r>
            <w:proofErr w:type="spellEnd"/>
            <w:r w:rsidRPr="001479A9">
              <w:rPr>
                <w:rFonts w:eastAsiaTheme="minorHAnsi" w:cs="Arial"/>
                <w:szCs w:val="20"/>
                <w:u w:val="single"/>
              </w:rPr>
              <w:t xml:space="preserve"> ademgeruis</w:t>
            </w:r>
            <w:r w:rsidRPr="001479A9">
              <w:rPr>
                <w:rFonts w:eastAsiaTheme="minorHAnsi" w:cs="Arial"/>
                <w:szCs w:val="20"/>
              </w:rPr>
              <w:t xml:space="preserve"> over alle longvelden.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Geadviseerd werd de medicatie te verminderen: </w:t>
            </w:r>
            <w:proofErr w:type="spellStart"/>
            <w:r w:rsidRPr="001479A9">
              <w:rPr>
                <w:rFonts w:eastAsiaTheme="minorHAnsi" w:cs="Arial"/>
                <w:i/>
                <w:szCs w:val="20"/>
              </w:rPr>
              <w:t>beclomethason</w:t>
            </w:r>
            <w:proofErr w:type="spellEnd"/>
            <w:r w:rsidRPr="001479A9">
              <w:rPr>
                <w:rFonts w:eastAsiaTheme="minorHAnsi" w:cs="Arial"/>
                <w:i/>
                <w:szCs w:val="20"/>
              </w:rPr>
              <w:t xml:space="preserve"> dosisaerosol</w:t>
            </w:r>
            <w:r w:rsidRPr="001479A9">
              <w:rPr>
                <w:rFonts w:eastAsiaTheme="minorHAnsi" w:cs="Arial"/>
                <w:szCs w:val="20"/>
              </w:rPr>
              <w:t xml:space="preserve"> niet meer dagelijks, doch om de dag 1 maal 100 microgram. Tevens werd geadviseerd tijdens schoolkamp of soortgelijke activiteiten de medicatie </w:t>
            </w:r>
            <w:proofErr w:type="spellStart"/>
            <w:r w:rsidRPr="001479A9">
              <w:rPr>
                <w:rFonts w:eastAsiaTheme="minorHAnsi" w:cs="Arial"/>
                <w:i/>
                <w:szCs w:val="20"/>
              </w:rPr>
              <w:t>beclomethason</w:t>
            </w:r>
            <w:proofErr w:type="spellEnd"/>
            <w:r w:rsidRPr="001479A9">
              <w:rPr>
                <w:rFonts w:eastAsiaTheme="minorHAnsi" w:cs="Arial"/>
                <w:i/>
                <w:szCs w:val="20"/>
              </w:rPr>
              <w:t xml:space="preserve"> dosisaerosol</w:t>
            </w:r>
            <w:r w:rsidRPr="001479A9">
              <w:rPr>
                <w:rFonts w:eastAsiaTheme="minorHAnsi" w:cs="Arial"/>
                <w:szCs w:val="20"/>
              </w:rPr>
              <w:t xml:space="preserve"> op te hogen naar 2dd 200 microgram. Tevens zal de </w:t>
            </w:r>
            <w:r w:rsidRPr="001479A9">
              <w:rPr>
                <w:rFonts w:eastAsiaTheme="minorHAnsi" w:cs="Arial"/>
                <w:i/>
                <w:szCs w:val="20"/>
              </w:rPr>
              <w:t>salbutamol</w:t>
            </w:r>
            <w:r w:rsidRPr="001479A9">
              <w:rPr>
                <w:rFonts w:eastAsiaTheme="minorHAnsi" w:cs="Arial"/>
                <w:szCs w:val="20"/>
              </w:rPr>
              <w:t xml:space="preserve"> alleen 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zonodig</w:t>
            </w:r>
            <w:proofErr w:type="spellEnd"/>
            <w:r w:rsidRPr="001479A9">
              <w:rPr>
                <w:rFonts w:eastAsiaTheme="minorHAnsi" w:cs="Arial"/>
                <w:szCs w:val="20"/>
              </w:rPr>
              <w:t xml:space="preserve"> worden gebruikt. De </w:t>
            </w:r>
            <w:proofErr w:type="spellStart"/>
            <w:r w:rsidRPr="001479A9">
              <w:rPr>
                <w:rFonts w:eastAsiaTheme="minorHAnsi" w:cs="Arial"/>
                <w:i/>
                <w:szCs w:val="20"/>
              </w:rPr>
              <w:t>Beconase</w:t>
            </w:r>
            <w:proofErr w:type="spellEnd"/>
            <w:r w:rsidRPr="001479A9">
              <w:rPr>
                <w:rFonts w:eastAsiaTheme="minorHAnsi" w:cs="Arial"/>
                <w:i/>
                <w:szCs w:val="20"/>
              </w:rPr>
              <w:t>®</w:t>
            </w:r>
            <w:r w:rsidRPr="001479A9">
              <w:rPr>
                <w:rFonts w:eastAsiaTheme="minorHAnsi" w:cs="Arial"/>
                <w:szCs w:val="20"/>
              </w:rPr>
              <w:t xml:space="preserve"> wordt niet meer gebruikt.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De fysiotherapeute gaf aanvullende instructies voor de juiste inhalatietechniek.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Een controleafspraak werd gemaakt voor over één jaar.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Met collegiale groet,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L. Pijp, longarts</w:t>
            </w:r>
          </w:p>
        </w:tc>
      </w:tr>
      <w:tr w:rsidR="004F6A07" w:rsidRPr="001479A9" w:rsidTr="00FF7B0C">
        <w:tc>
          <w:tcPr>
            <w:tcW w:w="1913" w:type="dxa"/>
          </w:tcPr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Werkwijze:</w:t>
            </w:r>
            <w:r w:rsidRPr="001479A9">
              <w:rPr>
                <w:rFonts w:eastAsiaTheme="minorHAnsi" w:cs="Arial"/>
                <w:szCs w:val="20"/>
              </w:rPr>
              <w:t xml:space="preserve"> </w:t>
            </w:r>
          </w:p>
          <w:p w:rsidR="004F6A07" w:rsidRPr="001479A9" w:rsidRDefault="004F6A07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 </w:t>
            </w:r>
          </w:p>
        </w:tc>
        <w:tc>
          <w:tcPr>
            <w:tcW w:w="7299" w:type="dxa"/>
          </w:tcPr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Zoek de betekenis op van de onderstreepte medische woorden.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Bestudeer uit “Geneesmiddelenkennis voor doktersassistenten” H 9.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Welke 2 soorten hoest kun je onderscheiden?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Noem 2 middelen die bij prikkelhoest kunnen worden voorgeschreven noem hun bijwerkingen.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Welke negatieve gegevens zijn er bekend over 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promethazine</w:t>
            </w:r>
            <w:proofErr w:type="spellEnd"/>
            <w:r w:rsidRPr="001479A9">
              <w:rPr>
                <w:rFonts w:eastAsiaTheme="minorHAnsi" w:cs="Arial"/>
                <w:szCs w:val="20"/>
              </w:rPr>
              <w:t xml:space="preserve"> (een antihistaminicum).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Noem 3 middelen die geschikt zijn voor productieve hoest.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Worden hoestmiddelen door de verzekering vergoed? 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Welke 2 hoofdgroepen geneesmiddelen worden bij COPD gebruikt?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Welke 2 subgroepen geneesmiddelen kun jij er nog bij verzinnen (denk aan de klachten die mensen met een COPD vaak hebben).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Zoek op wat de bijwerkingen zijn van de bij vraag 8 genoemde middelen.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Waarom moet jij na een inhalatie van corticosteroïden de mond spoelen.</w:t>
            </w:r>
          </w:p>
          <w:p w:rsidR="004F6A07" w:rsidRPr="001479A9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Wat doe je dan met dat water.</w:t>
            </w:r>
          </w:p>
          <w:p w:rsidR="004F6A07" w:rsidRDefault="004F6A07" w:rsidP="004F6A07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Wat is een stootkuur?</w:t>
            </w:r>
          </w:p>
          <w:p w:rsidR="00FF7B0C" w:rsidRDefault="00FF7B0C" w:rsidP="00FF7B0C">
            <w:pPr>
              <w:spacing w:after="0" w:line="240" w:lineRule="auto"/>
              <w:rPr>
                <w:rFonts w:eastAsiaTheme="minorHAnsi" w:cs="Arial"/>
                <w:szCs w:val="20"/>
              </w:rPr>
            </w:pPr>
          </w:p>
          <w:p w:rsidR="00FF7B0C" w:rsidRDefault="00FF7B0C" w:rsidP="00FF7B0C">
            <w:pPr>
              <w:spacing w:after="0" w:line="240" w:lineRule="auto"/>
              <w:rPr>
                <w:rFonts w:eastAsiaTheme="minorHAnsi" w:cs="Arial"/>
                <w:szCs w:val="20"/>
              </w:rPr>
            </w:pPr>
          </w:p>
          <w:p w:rsidR="00FF7B0C" w:rsidRPr="001479A9" w:rsidRDefault="00FF7B0C" w:rsidP="00FF7B0C">
            <w:pPr>
              <w:spacing w:after="0" w:line="240" w:lineRule="auto"/>
              <w:rPr>
                <w:rFonts w:eastAsiaTheme="minorHAnsi" w:cs="Arial"/>
                <w:szCs w:val="20"/>
              </w:rPr>
            </w:pPr>
            <w:bookmarkStart w:id="0" w:name="_GoBack"/>
            <w:bookmarkEnd w:id="0"/>
          </w:p>
        </w:tc>
      </w:tr>
      <w:tr w:rsidR="00FF7B0C" w:rsidRPr="001479A9" w:rsidTr="00FF7B0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1479A9" w:rsidRDefault="00FF7B0C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lastRenderedPageBreak/>
              <w:t>Media:</w:t>
            </w:r>
          </w:p>
          <w:p w:rsidR="00FF7B0C" w:rsidRPr="00FF7B0C" w:rsidRDefault="00FF7B0C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1479A9" w:rsidRDefault="00FF7B0C" w:rsidP="00FF7B0C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Geneesmiddelenkennis voor doktersassistenten” H 9</w:t>
            </w:r>
          </w:p>
          <w:p w:rsidR="00FF7B0C" w:rsidRPr="001479A9" w:rsidRDefault="00FF7B0C" w:rsidP="00FF7B0C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NHG-Triagewijzer</w:t>
            </w:r>
          </w:p>
          <w:p w:rsidR="00FF7B0C" w:rsidRPr="00FF7B0C" w:rsidRDefault="00FF7B0C" w:rsidP="00FF7B0C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NHG-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patiëntenbrieven</w:t>
            </w:r>
            <w:proofErr w:type="spellEnd"/>
            <w:r w:rsidRPr="001479A9">
              <w:rPr>
                <w:rFonts w:eastAsiaTheme="minorHAnsi" w:cs="Arial"/>
                <w:szCs w:val="20"/>
              </w:rPr>
              <w:t xml:space="preserve"> op 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CD-rom</w:t>
            </w:r>
            <w:proofErr w:type="spellEnd"/>
            <w:r w:rsidRPr="001479A9">
              <w:rPr>
                <w:rFonts w:eastAsiaTheme="minorHAnsi" w:cs="Arial"/>
                <w:szCs w:val="20"/>
              </w:rPr>
              <w:t xml:space="preserve"> NHG-Triagewijzer</w:t>
            </w:r>
          </w:p>
        </w:tc>
      </w:tr>
      <w:tr w:rsidR="00FF7B0C" w:rsidRPr="001479A9" w:rsidTr="00FF7B0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FF7B0C" w:rsidRDefault="00FF7B0C" w:rsidP="00FF7B0C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FF7B0C">
              <w:rPr>
                <w:rFonts w:eastAsiaTheme="minorHAnsi" w:cs="Arial"/>
                <w:b/>
                <w:szCs w:val="20"/>
              </w:rPr>
              <w:t xml:space="preserve">Specificaties: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C" w:rsidRPr="00FF7B0C" w:rsidRDefault="00FF7B0C" w:rsidP="00FF7B0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eastAsiaTheme="minorHAnsi" w:cs="Arial"/>
                <w:szCs w:val="20"/>
              </w:rPr>
            </w:pPr>
            <w:r w:rsidRPr="00FF7B0C">
              <w:rPr>
                <w:rFonts w:eastAsiaTheme="minorHAnsi" w:cs="Arial"/>
                <w:szCs w:val="20"/>
              </w:rPr>
              <w:t>Geen</w:t>
            </w:r>
          </w:p>
        </w:tc>
      </w:tr>
    </w:tbl>
    <w:p w:rsidR="00453CA7" w:rsidRDefault="00FF7B0C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1AAA"/>
    <w:multiLevelType w:val="singleLevel"/>
    <w:tmpl w:val="04130001"/>
    <w:lvl w:ilvl="0">
      <w:start w:val="4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1835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E77F12"/>
    <w:multiLevelType w:val="singleLevel"/>
    <w:tmpl w:val="DCE62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7"/>
    <w:rsid w:val="004F6A07"/>
    <w:rsid w:val="008C3A90"/>
    <w:rsid w:val="00B401FE"/>
    <w:rsid w:val="00CD179C"/>
    <w:rsid w:val="00F468A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D21A"/>
  <w15:chartTrackingRefBased/>
  <w15:docId w15:val="{98181479-3668-486E-90F3-F05ABA1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6A07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2017-03-17T16:41:00Z</dcterms:created>
  <dcterms:modified xsi:type="dcterms:W3CDTF">2017-03-17T16:45:00Z</dcterms:modified>
</cp:coreProperties>
</file>